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24 352 vom 2. Juni 2025</w:t>
      </w:r>
    </w:p>
    <w:p>
      <w:r>
        <w:t>VS Kantonsgericht, 2025-06-02, FR</w:t>
      </w:r>
    </w:p>
    <w:p>
      <w:r>
        <w:rPr>
          <w:b/>
        </w:rPr>
        <w:t xml:space="preserve">Quelle: </w:t>
      </w:r>
      <w:r>
        <w:t>https://mcp.opencaselaw.ch/entscheid/vs_gerichte_P3 24 352</w:t>
      </w:r>
    </w:p>
    <w:p>
      <w:r>
        <w:t>FR: VS_GERICHTE P3 24 352 du 2 juin 2025</w:t>
      </w:r>
    </w:p>
    <w:p>
      <w:r>
        <w:t>IT: VS_GERICHTE P3 24 352 del 2 giugno 2025</w:t>
      </w:r>
    </w:p>
    <w:p>
      <w:pPr>
        <w:pStyle w:val="Heading2"/>
      </w:pPr>
      <w:r>
        <w:t>Regeste</w:t>
      </w:r>
    </w:p>
    <w:p>
      <w:r>
        <w:t>P3 24 352 ARRÊT DU 2 JUIN 2025 Tribunal cantonal du Valais Chambre pénale Jacques Berthouzoz, juge suppléant ; Jean-Paul Margelisch, greffier en la cause entre X _________, recourant, représenté par Maître Elmar Wohlhauser, avocat à Fribourg et L’OFFICE RÉGIONAL DU MINISTÈRE PUBLIC DU BAS-VALAIS, intimé et LE TRIBUNAL DES DISTRICTS DE MARTIGNY ET ST-MAURICE, autorité attaquée (Validité de l'opposition à l'ordonnance pénale ; art. 354 CPP) recours contre la décision du Tribunal des districts de Martigny et St-Maurice du 6 décembre 2024 [MAR P1 2024 76]</w:t>
      </w:r>
    </w:p>
    <w:p>
      <w:pPr>
        <w:pStyle w:val="Heading2"/>
      </w:pPr>
      <w:r>
        <w:t>Erwägungen</w:t>
      </w:r>
    </w:p>
    <w:p>
      <w:r>
        <w:rPr>
          <w:b/>
        </w:rPr>
        <w:t>E. 4.1</w:t>
      </w:r>
    </w:p>
    <w:p>
      <w:r>
        <w:t>Un recours peut être formé devant un juge unique de la chambre pénale contre l’ordonnance du juge de district statuant en première instance sur la validité ou le maintien de l’opposition à l’ordonnance pénale (art. 393 al. 1 let. b CPP, 20 al. 3 LOJ et 13 al. 1 LACPP ; ATC P3 20 191 du 18 août 2020). Sont notamment susceptibles d’être invoquées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ce qui lui permet de statuer par substitution de motifs (LIEBER, in : Donatsch/Hansjakob/Lieber, Kommentar zur Schweizerischen Strafprozessordnung [StPO], 2014, n° 1 ad art. 391 CPP). N’ayant en principe à connaître que de ce qui lui est soumis (arrêts du Tribunal fédéral 7B_587/2023 du 11 septembre 2024 consid. 2.3.2 ; 7B_51/2024 du 25 avril 2024 consid. 2.3.3), elle n’examine que les griefs soulevés, dès lors que le recours doit être motivé (RVJ 2014 p. 200 consid. 1 et la référence citée).</w:t>
      </w:r>
    </w:p>
    <w:p>
      <w:r>
        <w:rPr>
          <w:b/>
        </w:rPr>
        <w:t>E. 4.2</w:t>
      </w:r>
    </w:p>
    <w:p>
      <w:r>
        <w:t>En l’espèce, a X _________ a qualité pour recourir, dès lors qu’il a un intérêt juridiquement protégé à l’annulation de l’ordonnance déclarant irrecevable son opposition du 27 septembre 2024 à l’ordonnance pénale du 15 novembre 2021 (art. 382 al. 1 CPP). Par ailleurs, remise à la poste le 19 décembre 2024, son écriture a été adressée dans le délai de dix jours dès la notification écrite de l’ordonnance litigieuse, reçue le 9 décembre 2024 (art. 90 al. 1, 91 al. 1 et 2, 384 let. b et 396 al. 1 CPP). Partant, le recours est recevable.</w:t>
      </w:r>
    </w:p>
    <w:p>
      <w:r>
        <w:rPr>
          <w:b/>
        </w:rPr>
        <w:t>E. 5.1</w:t>
      </w:r>
    </w:p>
    <w:p>
      <w:r>
        <w:t>Selon la jurisprudence, une communication officielle ou une décision d'une autorité dans une procédure est réputée notifiée et déploie ses effets (notamment le déclenchement d'un délai de recours) lorsqu'elle est remise à son destinataire. La notification n'intervient pas lorsque le destinataire prend concrètement connaissance du contenu de l'acte en question mais se produit lorsque ce dernier parvient dans la sphère d'influence du destinataire. Ce qui est déterminant, ce n'est pas que le destinataire prenne effectivement connaissance de l'acte mais que l'on puisse attendre de lui qu'il en prenne connaissance selon les règles de la bonne foi.</w:t>
      </w:r>
    </w:p>
    <w:p>
      <w:r>
        <w:t>- 8 -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L'art. 87 al. 1 CPP n'empêche pas les parties de communiquer aux autorités pénales une adresse de notification autre que celles indiquées par la norme (ATF 139 IV 228 consid. 1.1 et 1.2 ; arrêts du Tribunal fédéral 6B_38/2024 du 4 juin 2024 consid. 1.3 ; 6B_1092/2023 du 24 mai 2024 consid. 1.1.2). Par ailleurs, la Suisse et l'Ukraine ont ratifié la Convention européenne d'entraide judiciaire en matière pénale ainsi que son Deuxième Protocole additionnel, dont l'art. 16 prévoit que les autorités judiciaires compétentes de toute Partie peuvent envoyer directement, par voie postale, des actes de procédure et des décisions judiciaires, aux personnes qui se trouvent sur le territoire de toute autre Partie (ch. 1) avec la précision que les actes de procédure et les décisions judiciaires sont accompagnés d’une note indiquant que le destinataire peut obtenir de l’autorité identifiée dans la note des informations sur ses droits et obligations concernant la remise des pièces (ch. 2).</w:t>
      </w:r>
    </w:p>
    <w:p>
      <w:r>
        <w:rPr>
          <w:b/>
        </w:rPr>
        <w:t>E. 5.2</w:t>
      </w:r>
    </w:p>
    <w:p>
      <w:r>
        <w:t>L'art.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(ATF 144 IV 64 consid. 2.1 ; arrêt du Tribunal fédéral 7B_277/2023 du 19 septembre 2023 consid. 2.3.2).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(cf. ATF 134 V 49 consid. 4 ; 130 III 396 consid. 1.2.3). Pour les envois recommandés qui n'ont pas pu être directement délivrés à leur destinataire, hormis le cas de demande de garde du courrier, un avis de retrait de l'envoi dans le délai postal de garde de sept jours doit alors être déposé dans la boîte aux lettres ou la boîte postale du destinataire (ATF 141 II 429 consid. 3.3.3 ; arrêt du Tribunal fédéral 5A_698/2024 du 30 janvier 2025 consid. 5.2), ce qu’atteste ordinairement le formulaire issu du système de suivi mis en place par La Poste suisse (cf. arrêt du Tribunal fédéral 2C_86/2025 du 12 février 2015 consid. 3.2). L'envoi est réputé notifié lorsqu'il est retiré au guichet postal ou, à défaut, le dernier jour du délai de garde (ATF 150 II 26 consid. 3.5.4 et les références ; arrêt du Tribunal fédéral 9C_415/2014 du 5 novembre 2014 consid. 6.2). La personne concernée ne doit</w:t>
      </w:r>
    </w:p>
    <w:p>
      <w:r>
        <w:t>- 9 -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même si le justiciable n’a pas été informé de l'ouverture d'une procédure par le ministère public avant qu'une ordonnance pénale lui soit notifiée (ATF 130 III 396 consid. 1.2.3 ; arrêt du Tribunal fédéral 6B_448/2014 du 30 octobre 2014 consid. 1.1). De jurisprudence constante, celui qui se sait partie à une procédure judiciaire et qui doit dès lors s'attendre à recevoir notification d'actes du juge est notamment tenu de veiller à ce que les actes officiels concernant cette procédure puissent lui être notifiés, le destinataire devant, le cas échéant, désigner un représentant, faire suivre son courrier, informer les autorités de son absence ou leur indiquer une adresse de notification (ATF 146 IV 30 consid. 1.1.2 ; arrêts du Tribunal fédéral 6B_217/2025 du 29 avril 2025 consid. 2.1.1 ; 6B_1026/2024 du 26 mars 2025 consid. 4 ; 6B_986/2024 du 13 mars 2025 consid. 4 ; 7B_122/2025 du 10 mars 2025 consid. 1.1 ; 6B_172/2025 du 26 février 2025 consid. 3). Par ailleurs, le fardeau de la preuve de la notification et de la date de celle-ci incombe en principe à l'autorité qui entend en tirer une conséquence juridique (ATF 136 V 295 consid. 5.9). L'autorité supporte donc les conséquences de l'absence de preuve en ce sens que, si la notification ou sa date sont contestées et s'il existe effectivement un doute à ce sujet, il y a lieu de se fonder sur les déclarations du destinataire de l'envoi (ATF 129 I 8 consid. 2.2 ; 124 V 400 consid. 2a). Cependant, la preuve de la notification peut résulter non seulement des informations émanant du système de suivi mis en place par La Poste suisse (cf. 7B_122/2025 précité consid. 1.2), mais aussi d'autres indices ou de l'ensemble des circonstances, par exemple un échange de correspondances ultérieur ou le comportement du destinataire (ATF 142 IV 125 consid. 4.3).</w:t>
      </w:r>
    </w:p>
    <w:p>
      <w:r>
        <w:rPr>
          <w:b/>
        </w:rPr>
        <w:t>E. 5.3</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(ATF 147 IV 93 consid. 1.4.4). Sauf dans les cas expressément prévus par la loi, il ne faut donc admettre la nullité qu'à titre exceptionnel, lorsque les circonstances sont telles que le système d'annulabilité n'offre manifestement pas la protection nécessaire (ATF 130 II 249 consid. 2.4 ; arrêt du Tribunal fédéral 6B_1138/2023 du 17 mai 2024 consid. 2.1 et 2.2 en matière de connaissance suffisante d’une langue pour faire opposition à une</w:t>
      </w:r>
    </w:p>
    <w:p>
      <w:r>
        <w:t>- 10 - ordonnance pénale). Ainsi, l'absence de traduction d'une ordonnance pénale ne constitue pas un motif de révision, ni une cause de nullité (ATF 145 IV 197 consid. 1.3.3 et la référence citée). Selon la jurisprudence, la notification irrégulière d'une décision a généralement pour seule conséquence qu'elle ne doit entraîner aucun préjudice pour son destinataire (cf. art. 49 LTF). Le délai d'opposition pour attaquer une ordonnance notifiée irrégulièrement court par conséquent dès le jour où son destinataire a pu en prendre connaissance, dans son dispositif et ses motifs (ATF 139 IV 228 consid. 1.3).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 cf. ég. ATF 144 IV 57 consid. 2.3.2 ; 134 V 306 consid. 4.2 ; arrêts du Tribunal fédéral 6B_171/2024 précité consid. 2.1 ; 6B_457/2023 du 11 mars 2024 consid. 1.3). Par ailleurs, l'étendue de l'assistance qu'il convient d'accorder à un accusé dont la langue maternelle n'est pas celle de la procédure doit être appréciée non pas de manière abstraite, mais en fonction des besoins effectifs de l'accusé et des circonstances concrètes du cas (ATF 145 IV 197 consid. 1.3.3 ; 143 IV 117 consid. 3.1 ; 118 Ia 462 consid. 2a ; arrêt du Tribunal fédéral 6B_611/2020 du 19 avril 2021 consid. 1.2.1).</w:t>
      </w:r>
    </w:p>
    <w:p>
      <w:r>
        <w:rPr>
          <w:b/>
        </w:rPr>
        <w:t>E. 6.1</w:t>
      </w:r>
    </w:p>
    <w:p>
      <w:r>
        <w:t>En l’espèce, il y a d’abord lieu de relever le caractère irrégulier de la notification à X _________ des différents actes judiciaires du 15 novembre 2021, dont l’ordonnance pénale litigieuse, par pli recommandé du même jour envoyé, via sa case postale, à son ancien domicile à B _________, voire à l’adresse de l’établissement public qu’il exploitait en-dessous de son logement. Certes, le recourant n’a rempli qu’une partie de ses obligations en informant de son départ pour l’Ukraine le Contrôle des habitants de B _________, le 14 juillet 2021, sans aviser le Ministère public de son changement de domicile à l’étranger, alors qu’il venait d’être entendu à deux reprises par la police en qualité de prévenu et dûment averti de cette qualité. Cependant, l’audition de E _________ du 30 juin 2021 avait révélé la prochaine cessation d’activité professionnelle puis le départ du couple en Ukraine et surtout l’effectivité de ce départ avait été confirmée par F _________ lors de son audition du 15 septembre 2021. Au vu de ces éléments figurant au dossier, le Ministère public ne pouvait pas notifier les documents en question à une adresse qui n’avait pas été désignée domicile de notification en vue de départ à l’étranger (au sens de l’art. 87 al. 2 CPP) et que le dossier faisait ressortir comme périmée, de sorte que le fait que l’envoi n’a pas été réclamé n’a</w:t>
      </w:r>
    </w:p>
    <w:p>
      <w:r>
        <w:t>- 11 - pu entraîner aucun effet juridique, de même que le pli en courrier A du 1er décembre 2021. En revanche, comme déjà relevé, la notification irrégulière d'une décision a pour seule conséquence qu'elle ne doit entraîner aucun préjudice pour son destinataire, de sorte que le délai d'opposition pour attaquer une ordonnance notifiée irrégulièrement ne court que dès le jour où son destinataire a pu en prendre connaissance. Une telle irrégularité ne présente donc pas le caractère de gravité justifiant d’admettre à titre exceptionnel l’existence d’un motif de nullité.</w:t>
      </w:r>
    </w:p>
    <w:p>
      <w:r>
        <w:rPr>
          <w:b/>
        </w:rPr>
        <w:t>E. 6.2</w:t>
      </w:r>
    </w:p>
    <w:p>
      <w:r>
        <w:t>S’agissant de la réexpédition du même envoi, par courrier recommandé du</w:t>
      </w:r>
    </w:p>
    <w:p>
      <w:r>
        <w:rPr>
          <w:b/>
        </w:rPr>
        <w:t>E. 6.3</w:t>
      </w:r>
    </w:p>
    <w:p>
      <w:r>
        <w:t>Il reste à examiner l’attitude du recourant sous l’angle du principe de la bonne foi en procédure (art. 5 al. 3 Cst.). A cet égard, il convient d’abord de rappeler qu’à la suite de l’envoi réussi d’un rappel de la facture du 15 novembre 2021 à l’adresse de X _________ en Ukraine, celui-ci a</w:t>
      </w:r>
    </w:p>
    <w:p>
      <w:r>
        <w:t>- 12 - appelé le Ministère public depuis son domicile en date du 22 février 2022 et a alors été notamment informé qu'une ordonnance pénale lui avait été notifiée à son adresse à B _________, le 15 novembre 2021, puis à celle découverte en Ukraine, ce qui a alimenté une discussion avec son interlocuteur du Ministère public (cf. sa note téléphonique du 23 février 2022) mais n’a abouti qu’à la réflexion de l’intéressé selon laquelle il n’avait rien à faire de ces histoires. Il n’en demeure pas moins que, dès cet instant, il avait connaissance d’une condamnation prononcée à son encontre, ce qui devait à tout le moins l’inciter, comme tout un chacun l’aurait fait, à profiter de l’entretien téléphonique pour recueillir de plus amples informations et, sur-le-champ ou ultérieurement avec un peu de recul, à demander que le document y relatif lui soit communiqué afin de connaître son contenu. Une attitude aussi obtuse est déjà significative d’un comportement procédural fort lacunaire. Mais il y a plus. En procédure de recours, X _________ ne remet pas en question la réception de l’ordonnance pénale saint-galloise du 23 février 2023 par sa sœur H _________, mais semble plutôt revenir sur l’élection de domicile chez elle, à I _________. En tout état de cause, une telle position se trouverait en flagrante contradiction avec le rapport de police du 11 janvier 2023 où il est fait par deux fois état d’une adresse de notification (Zustelladresse) chez cette personne, cela du fait qu’il vivait à l’étranger et ne possédait aucune adresse de résidence valable (keine gültige Wohnadresse). De surcroît, l’intéressée, domiciliée non loin du lieu d’audition, s’y est déplacée et a confirmé son accord. En réalité, le recourant focalise son argumentation sur sa connaissance insuffisante de la langue allemande qui l’aurait empêché de comprendre quoi que ce soit à l’ordonnance pénale précitée, notamment en ce qui concerne ses références à l’ordonnance pénale valaisanne du 15 novembre 2021. Cette assertion paraît déjà quelque peu surprenante, si l’on se réfère aux éléments d’identité de l’intéressé, à son origine saint-galloise et à son ascendance exclusivement alémanique. Sans devoir même faire appel aux outils de traduction courants et gratuits pour élucider sans effort l’essentiel d’un contenu qui aurait été incertain, X _________ pouvait compter sur l’assistance de sa sœur domiciliée en K _________, réceptionnaire du document et préalablement informée de son objet, d’autant que le dispositif de l’ordonnance pénale faisait clairement référence à la révocation du sursis assortissant la peine prononcée par le « jugement » du Ministère public du canton du Valais du</w:t>
      </w:r>
    </w:p>
    <w:p>
      <w:r>
        <w:rPr>
          <w:b/>
        </w:rPr>
        <w:t>E. 6.4</w:t>
      </w:r>
    </w:p>
    <w:p>
      <w:r>
        <w:t>En vertu de l'art. 94 CPP, une partie peut demander la restitution du délai si elle a été empêchée de l'observer, pour autant qu’elle rende vraisemblable que le défaut n'est imputable à aucune faute de sa part (al. 1) et que la demande de restitution, dûment motivée, soit adressée par écrit dans les 30 jours à compter de celui où l'empêchement a cessé (al. 2). Toute faute de la partie, même légère, exclut la restitution de délai (arrêt du Tribunal fédéral 6B_177/2025 du 24 mars 2025 consid. 2.2 et les références). En l’occurrence, les circonstances évoquées ci-dessus ne sauraient à l’évidence permettre de considérer que l’écoulement du délai d’opposition à l’ordonnance pénale</w:t>
      </w:r>
    </w:p>
    <w:p>
      <w:r>
        <w:t>- 14 - du 15 novembre 2021 n'est imputable à aucune faute du recourant. Dès lors, la requête en restitution de délai est dépourvue de tout fondement, ce qui rend sans objet la question de l’effet suspensif. 7. Etant donné que X _________ est entièrement débouté de ses conclusions, les frais de la procédure de recours seront mis à sa charge (art. 416, 421 al. 2 let. c et 428 al. 1 CPP ; arrêts du Tribunal fédéral 6B_487/2024 du 9 avril 2025 consid. 4.1.3 ; 6B_365/2024 du 28 janvier 2025 consid. 6.2). L’émolument, qui doit respecter les principes de la couverture des frais et de l’équivalence des prestations, est fixé en fonction notamment de l’ampleur et de la difficulté de la cause (art. 424 al. 1 CPP et 1 al. 1, 13 al. 1 et 2 LTar). Il varie entre 90 et 2400 fr. (art. 22 let. g LTar). En l’occurrence, eu égard à la difficulté de l’affaire proche de la moyenne, les frais sont arrêtés forfaitairement à 1200 fr. (art. 424 al. 2 CPP et 11 LTar). Prononce</w:t>
      </w:r>
    </w:p>
    <w:p>
      <w:r>
        <w:rPr>
          <w:b/>
        </w:rPr>
        <w:t>E. 10</w:t>
      </w:r>
    </w:p>
    <w:p>
      <w:r>
        <w:t>décembre 2021, dans une enveloppe neutre à la nouvelle adresse de X _________ à Kiev (mais sans la note d’accompagnement prévue par l’art. 16 ch. 2 du Deuxième Protocole additionnel susmentionné), on ne peut rien retirer de l’autocollant postal de retour de la poste ukrainienne en français et en ukrainien dont les rubriques (inconnu, déménagé, adresse insuffisante, refusé non réclamé, refusé par la douane, date de retour) sont restées vides. En revanche, au moyen du système de suivi mis en place par La Poste suisse concernant l’envoi recommandé du 10 décembre 2021, il est notamment possible de savoir que, les 23 et 27 décembre 2021 une tentative de distribution a eu lieu et que le destinataire était absent, de même que, le 20 janvier 2022, une troisième tentative de distribution a été réalisée mais que l’objet n’a pas été distribuable, ce qui paraît revenir au même. En tout cas, le document de suivi n’indique pas que l’enveloppe a pu être présentée à son destinataire. Après quoi, l’envoi a été retourné à son expéditeur et, le 18 février 2022, est parvenu au Ministère public. Par ailleurs, il ne résulte pas de ce qui précède que le destinataire du pli a reçu une invitation à retirer l’acte judiciaire à la poste ukrainienne dans un délai déterminé. Dès lors, en vertu des règles sur le fardeau de la preuve en cas de contestation de notification régulière, il y a lieu de conclure que le ministère public n’est pas parvenu à démontrer que le mécanisme de la fiction instaurée par l’art. 85 al. 4 let. a CPP a été respecté par les fonctionnaires postaux ukrainiens, la seule absence, même réitérée, du destinataire ne pouvant entraîner une notification régulière de l’ordonnance pénale en question. Mais l’irrégularité en question ne conduit pas non plus à l’exceptionnelle nullité de l’acte judiciaire affecté.</w:t>
      </w:r>
    </w:p>
    <w:p>
      <w:r>
        <w:rPr>
          <w:b/>
        </w:rPr>
        <w:t>E. 15</w:t>
      </w:r>
    </w:p>
    <w:p>
      <w:r>
        <w:t>novembre 2021 dès lors qu'il a pu en avoir connu l'existence à en tout cas deux reprises, ce qui conduit lui opposer la tardiveté de l’opposition formulée la première fois en date du 27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